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  <w:rPr>
          <w:rFonts w:ascii="Verdana" w:hAnsi="Verdana" w:cs="Verdana"/>
          <w:sz w:val="32"/>
          <w:szCs w:val="32"/>
        </w:rPr>
      </w:pPr>
      <w:bookmarkStart w:id="0" w:name="_GoBack"/>
      <w:bookmarkEnd w:id="0"/>
      <w:r>
        <w:rPr>
          <w:rFonts w:ascii="方正黑体_GBK" w:hAnsi="方正黑体_GBK" w:eastAsia="方正黑体_GBK" w:cs="方正黑体_GBK"/>
          <w:color w:val="333333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color w:val="333333"/>
          <w:sz w:val="32"/>
          <w:szCs w:val="32"/>
        </w:rPr>
        <w:t>1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center"/>
        <w:rPr>
          <w:rFonts w:hint="default" w:ascii="Verdana" w:hAnsi="Verdana" w:cs="Verdana"/>
          <w:sz w:val="32"/>
          <w:szCs w:val="32"/>
        </w:rPr>
      </w:pPr>
      <w:r>
        <w:rPr>
          <w:rFonts w:ascii="方正小标宋_GBK" w:hAnsi="方正小标宋_GBK" w:eastAsia="方正小标宋_GBK" w:cs="方正小标宋_GBK"/>
          <w:color w:val="333333"/>
          <w:sz w:val="44"/>
          <w:szCs w:val="4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center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  <w:t>年度项目申报说明和选题指南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Helvetica" w:cs="Times New Roman"/>
          <w:color w:val="333333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</w:rPr>
        <w:t>一、申报说明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Verdana" w:hAnsi="Verdana" w:cs="Verdana"/>
          <w:sz w:val="32"/>
          <w:szCs w:val="32"/>
        </w:rPr>
      </w:pPr>
      <w:r>
        <w:rPr>
          <w:rFonts w:ascii="方正楷体_GBK" w:hAnsi="方正楷体_GBK" w:eastAsia="方正楷体_GBK" w:cs="方正楷体_GBK"/>
          <w:color w:val="333333"/>
          <w:sz w:val="32"/>
          <w:szCs w:val="32"/>
        </w:rPr>
        <w:t>（一）选题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5"/>
        <w:jc w:val="both"/>
        <w:textAlignment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Helvetica" w:cs="Times New Roman"/>
          <w:color w:val="333333"/>
          <w:kern w:val="0"/>
          <w:sz w:val="32"/>
          <w:szCs w:val="32"/>
          <w:lang w:val="en-US" w:eastAsia="zh-CN" w:bidi="ar"/>
        </w:rPr>
        <w:t>1</w:t>
      </w:r>
      <w:r>
        <w:rPr>
          <w:rFonts w:ascii="仿宋_GB2312" w:hAnsi="Times New Roman" w:eastAsia="仿宋_GB2312" w:cs="仿宋_GB2312"/>
          <w:color w:val="333333"/>
          <w:kern w:val="0"/>
          <w:sz w:val="32"/>
          <w:szCs w:val="32"/>
          <w:lang w:val="en-US" w:eastAsia="zh-CN" w:bidi="ar"/>
        </w:rPr>
        <w:t>．</w:t>
      </w:r>
      <w:r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"/>
        </w:rPr>
        <w:t>“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"/>
        </w:rPr>
        <w:t>选题指南”包括比较笼统的方向性条目和比较具体的题目两类。方向性条目设定了研究范围和方向，申请人可据此自行设计具体题目；具体题目，申报人可从不同的视角、方法和侧重点进行选题设计，也可对题目的文字表述做出适当修改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2</w:t>
      </w:r>
      <w:r>
        <w:rPr>
          <w:rFonts w:hint="eastAsia" w:ascii="仿宋_GB2312" w:hAnsi="Verdana" w:eastAsia="仿宋_GB2312" w:cs="仿宋_GB2312"/>
          <w:color w:val="333333"/>
          <w:sz w:val="32"/>
          <w:szCs w:val="32"/>
        </w:rPr>
        <w:t>．</w:t>
      </w:r>
      <w:r>
        <w:rPr>
          <w:rFonts w:hint="eastAsia" w:ascii="方正仿宋_GBK" w:hAnsi="方正仿宋_GBK" w:eastAsia="方正仿宋_GBK" w:cs="方正仿宋_GBK"/>
          <w:color w:val="333333"/>
          <w:spacing w:val="-6"/>
          <w:sz w:val="32"/>
          <w:szCs w:val="32"/>
        </w:rPr>
        <w:t>带“★”者为重大（或重点）选题条目。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3</w:t>
      </w:r>
      <w:r>
        <w:rPr>
          <w:rFonts w:hint="eastAsia" w:ascii="仿宋_GB2312" w:hAnsi="Verdana" w:eastAsia="仿宋_GB2312" w:cs="仿宋_GB2312"/>
          <w:color w:val="333333"/>
          <w:sz w:val="32"/>
          <w:szCs w:val="32"/>
        </w:rPr>
        <w:t>．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鼓励在符合“选题指南”精神前提下，结合自己研究方向自主选题。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4</w:t>
      </w:r>
      <w:r>
        <w:rPr>
          <w:rFonts w:hint="eastAsia" w:ascii="仿宋_GB2312" w:hAnsi="Verdana" w:eastAsia="仿宋_GB2312" w:cs="仿宋_GB2312"/>
          <w:color w:val="333333"/>
          <w:sz w:val="32"/>
          <w:szCs w:val="32"/>
        </w:rPr>
        <w:t>．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申报题目的表述应科学、严谨、规范、简明，一般不加副标题。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333333"/>
          <w:sz w:val="32"/>
          <w:szCs w:val="32"/>
        </w:rPr>
        <w:t>（二）研究类型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分为基础研究、应用研究、综合研究和其他研究。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333333"/>
          <w:sz w:val="32"/>
          <w:szCs w:val="32"/>
        </w:rPr>
        <w:t>（三）预期成果形式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分为学术专著、研究报告和系列论文。申请者根据研究设计选择其中一种预期成果形式。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both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</w:rPr>
        <w:t>二、选题指南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456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kern w:val="0"/>
          <w:sz w:val="24"/>
          <w:szCs w:val="24"/>
          <w:lang w:val="en-US" w:eastAsia="zh-CN" w:bidi="ar"/>
        </w:rPr>
        <w:t>★</w:t>
      </w:r>
      <w:r>
        <w:rPr>
          <w:rFonts w:hint="default" w:ascii="Times New Roman" w:hAnsi="Times New Roman" w:eastAsia="方正仿宋_GBK" w:cs="Times New Roman"/>
          <w:color w:val="333333"/>
          <w:spacing w:val="-6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333333"/>
          <w:spacing w:val="-6"/>
          <w:kern w:val="0"/>
          <w:sz w:val="32"/>
          <w:szCs w:val="32"/>
          <w:lang w:val="en-US" w:eastAsia="zh-CN" w:bidi="ar"/>
        </w:rPr>
        <w:t>．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"/>
        </w:rPr>
        <w:t>习近平总书记关于重庆工作的重要指示、批示研究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456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kern w:val="0"/>
          <w:sz w:val="24"/>
          <w:szCs w:val="24"/>
          <w:lang w:val="en-US" w:eastAsia="zh-CN" w:bidi="ar"/>
        </w:rPr>
        <w:t>★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"/>
        </w:rPr>
        <w:t>．“两个确立”的理论逻辑、历史逻辑和实践逻辑研究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456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kern w:val="0"/>
          <w:sz w:val="24"/>
          <w:szCs w:val="24"/>
          <w:lang w:val="en-US" w:eastAsia="zh-CN" w:bidi="ar"/>
        </w:rPr>
        <w:t>★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"/>
        </w:rPr>
        <w:t>．马克思主义中国化“两个结合”的内涵及规律研究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456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kern w:val="0"/>
          <w:sz w:val="24"/>
          <w:szCs w:val="24"/>
          <w:lang w:val="en-US" w:eastAsia="zh-CN" w:bidi="ar"/>
        </w:rPr>
        <w:t>★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"/>
        </w:rPr>
        <w:t>．习近平新时代中国特色社会主义思想原创性贡献研究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456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kern w:val="0"/>
          <w:sz w:val="24"/>
          <w:szCs w:val="24"/>
          <w:lang w:val="en-US" w:eastAsia="zh-CN" w:bidi="ar"/>
        </w:rPr>
        <w:t>★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"/>
        </w:rPr>
        <w:t>．习近平新时代中国特色社会主义思想的方法论研究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456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kern w:val="0"/>
          <w:sz w:val="24"/>
          <w:szCs w:val="24"/>
          <w:lang w:val="en-US" w:eastAsia="zh-CN" w:bidi="ar"/>
        </w:rPr>
        <w:t>★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"/>
        </w:rPr>
        <w:t>．习近平新时代中国特色社会主义思想的世界意义研究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456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kern w:val="0"/>
          <w:sz w:val="24"/>
          <w:szCs w:val="24"/>
          <w:lang w:val="en-US" w:eastAsia="zh-CN" w:bidi="ar"/>
        </w:rPr>
        <w:t>★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"/>
        </w:rPr>
        <w:t>．习近平总书记关于中国共产党历史重要论述研究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456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kern w:val="0"/>
          <w:sz w:val="24"/>
          <w:szCs w:val="24"/>
          <w:lang w:val="en-US" w:eastAsia="zh-CN" w:bidi="ar"/>
        </w:rPr>
        <w:t>★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"/>
        </w:rPr>
        <w:t>．</w:t>
      </w:r>
      <w:r>
        <w:rPr>
          <w:rFonts w:hint="eastAsia" w:ascii="方正仿宋_GBK" w:hAnsi="方正仿宋_GBK" w:eastAsia="方正仿宋_GBK" w:cs="方正仿宋_GBK"/>
          <w:color w:val="333333"/>
          <w:spacing w:val="-11"/>
          <w:kern w:val="0"/>
          <w:sz w:val="32"/>
          <w:szCs w:val="32"/>
          <w:lang w:val="en-US" w:eastAsia="zh-CN" w:bidi="ar"/>
        </w:rPr>
        <w:t>习近平总书记关于坚持和加强党的全面领导重要论述研究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456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kern w:val="0"/>
          <w:sz w:val="24"/>
          <w:szCs w:val="24"/>
          <w:lang w:val="en-US" w:eastAsia="zh-CN" w:bidi="ar"/>
        </w:rPr>
        <w:t>★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9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"/>
        </w:rPr>
        <w:t>．习近平总书记关于依规治党重要论述研究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456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kern w:val="0"/>
          <w:sz w:val="24"/>
          <w:szCs w:val="24"/>
          <w:lang w:val="en-US" w:eastAsia="zh-CN" w:bidi="ar"/>
        </w:rPr>
        <w:t>★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"/>
        </w:rPr>
        <w:t>．习近平总书记关于完整、准确、全面贯彻新发展理念重要论述研究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456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kern w:val="0"/>
          <w:sz w:val="24"/>
          <w:szCs w:val="24"/>
          <w:lang w:val="en-US" w:eastAsia="zh-CN" w:bidi="ar"/>
        </w:rPr>
        <w:t>★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11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"/>
        </w:rPr>
        <w:t>．习近平总书记关于高质量发展重要论述研究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456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kern w:val="0"/>
          <w:sz w:val="24"/>
          <w:szCs w:val="24"/>
          <w:lang w:val="en-US" w:eastAsia="zh-CN" w:bidi="ar"/>
        </w:rPr>
        <w:t>★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"/>
        </w:rPr>
        <w:t>．习近平总书记关于“三农”问题重要论述研究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456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kern w:val="0"/>
          <w:sz w:val="24"/>
          <w:szCs w:val="24"/>
          <w:lang w:val="en-US" w:eastAsia="zh-CN" w:bidi="ar"/>
        </w:rPr>
        <w:t>★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13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"/>
        </w:rPr>
        <w:t>．习近平总书记对马克思主义人民性理论的发展研究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456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kern w:val="0"/>
          <w:sz w:val="24"/>
          <w:szCs w:val="24"/>
          <w:lang w:val="en-US" w:eastAsia="zh-CN" w:bidi="ar"/>
        </w:rPr>
        <w:t>★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14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"/>
        </w:rPr>
        <w:t>．</w:t>
      </w:r>
      <w:r>
        <w:rPr>
          <w:rFonts w:hint="eastAsia" w:ascii="方正仿宋_GBK" w:hAnsi="方正仿宋_GBK" w:eastAsia="方正仿宋_GBK" w:cs="方正仿宋_GBK"/>
          <w:color w:val="333333"/>
          <w:spacing w:val="-11"/>
          <w:kern w:val="0"/>
          <w:sz w:val="32"/>
          <w:szCs w:val="32"/>
          <w:lang w:val="en-US" w:eastAsia="zh-CN" w:bidi="ar"/>
        </w:rPr>
        <w:t>习近平总书记关于铸牢中华民族共同体意识重要论述研究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456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kern w:val="0"/>
          <w:sz w:val="24"/>
          <w:szCs w:val="24"/>
          <w:lang w:val="en-US" w:eastAsia="zh-CN" w:bidi="ar"/>
        </w:rPr>
        <w:t>★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15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"/>
        </w:rPr>
        <w:t>．习近平总书记关于国家安全重要论述研究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456"/>
        <w:jc w:val="both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sz w:val="24"/>
          <w:szCs w:val="24"/>
        </w:rPr>
        <w:t>★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16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．习近平总书记关于哲学社会科学重要论述研究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456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kern w:val="0"/>
          <w:sz w:val="24"/>
          <w:szCs w:val="24"/>
          <w:lang w:val="en-US" w:eastAsia="zh-CN" w:bidi="ar"/>
        </w:rPr>
        <w:t>★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17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"/>
        </w:rPr>
        <w:t>．习近平总书记关于历史科学重要论述研究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456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kern w:val="0"/>
          <w:sz w:val="24"/>
          <w:szCs w:val="24"/>
          <w:lang w:val="en-US" w:eastAsia="zh-CN" w:bidi="ar"/>
        </w:rPr>
        <w:t>★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18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"/>
        </w:rPr>
        <w:t>．习近平总书记关于档案工作重要论述研究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456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kern w:val="0"/>
          <w:sz w:val="24"/>
          <w:szCs w:val="24"/>
          <w:lang w:val="en-US" w:eastAsia="zh-CN" w:bidi="ar"/>
        </w:rPr>
        <w:t>★</w:t>
      </w:r>
      <w:r>
        <w:rPr>
          <w:rFonts w:hint="default" w:ascii="Times New Roman" w:hAnsi="Times New Roman" w:eastAsia="方正仿宋_GBK" w:cs="Times New Roman"/>
          <w:color w:val="333333"/>
          <w:spacing w:val="-6"/>
          <w:kern w:val="0"/>
          <w:sz w:val="32"/>
          <w:szCs w:val="32"/>
          <w:lang w:val="en-US" w:eastAsia="zh-CN" w:bidi="ar"/>
        </w:rPr>
        <w:t>19</w:t>
      </w:r>
      <w:r>
        <w:rPr>
          <w:rFonts w:hint="eastAsia" w:ascii="方正仿宋_GBK" w:hAnsi="方正仿宋_GBK" w:eastAsia="方正仿宋_GBK" w:cs="方正仿宋_GBK"/>
          <w:color w:val="333333"/>
          <w:spacing w:val="-6"/>
          <w:kern w:val="0"/>
          <w:sz w:val="32"/>
          <w:szCs w:val="32"/>
          <w:lang w:val="en-US" w:eastAsia="zh-CN" w:bidi="ar"/>
        </w:rPr>
        <w:t>．习近平经济思想与中国特色经济学学科体系建设研究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456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456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sz w:val="24"/>
          <w:szCs w:val="24"/>
        </w:rPr>
        <w:t>★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20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．“五个必由之路”的重要内涵和时代意义研究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456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sz w:val="24"/>
          <w:szCs w:val="24"/>
        </w:rPr>
        <w:t>★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21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．重庆乡村振兴法治保障研究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456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sz w:val="24"/>
          <w:szCs w:val="24"/>
        </w:rPr>
        <w:t>★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22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．川渝地区司法服务一体化协作机制研究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456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sz w:val="24"/>
          <w:szCs w:val="24"/>
        </w:rPr>
        <w:t>★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23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．建立健全农村基层组织推动乡村振兴研究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456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sz w:val="24"/>
          <w:szCs w:val="24"/>
        </w:rPr>
        <w:t>★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24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．重庆基层党建与机关业务深度融合研究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456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sz w:val="24"/>
          <w:szCs w:val="24"/>
        </w:rPr>
        <w:t>★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25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．重庆提升党员干部共情能力研究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26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．习近平法治思想纳入高校法治理论教学体系研究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27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．中国共产党的政治建设话语体系生成研究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28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．中国共产党重庆历史研究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29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．党内法规规范性文件和地方立法的衔接研究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30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．国有企业开展产业链、供应链、创新链党建工作研究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31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．混合所有制企业党建研究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32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．加强新业态新就业群体党建工作研究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33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．建立健全高质量党建引领保障高质量发展机制研究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34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．组织工作在党的自我革命中的重要作用研究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35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．共同富裕的长期性、艰巨性、复杂性研究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36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．共同富裕与人的自由全面发展研究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37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．“四史”宣传教育背景下增强青年红色文化认同研究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38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．重庆爱国主义教育基地规范管理机制研究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39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．构建中国特色哲学社会科学体系研究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40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</w:t>
      </w:r>
      <w:r>
        <w:rPr>
          <w:rFonts w:hint="eastAsia" w:ascii="方正仿宋_GBK" w:hAnsi="方正仿宋_GBK" w:eastAsia="方正仿宋_GBK" w:cs="方正仿宋_GBK"/>
          <w:color w:val="333333"/>
          <w:spacing w:val="-6"/>
          <w:sz w:val="32"/>
          <w:szCs w:val="32"/>
        </w:rPr>
        <w:t>“西式现代化”批判与“中国式现代化新道路”启示研究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41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．《资本论》的方法论研究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42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．共青团建团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100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周年和重庆青年运动研究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43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．加快建设青年人才荟萃地研究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44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．加强年轻干部教育管理监督研究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45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．进一步激励干部担当作为研究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46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．提升干部队伍现代化建设能力研究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47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．跨流域跨区域横向生态保护补偿机制研究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48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．社会主义核心价值观融入宗教工作研究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49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．新时代弘扬“西迁精神”研究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50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．重庆公共信用信息平台建设研究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51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</w:t>
      </w:r>
      <w:r>
        <w:rPr>
          <w:rFonts w:hint="eastAsia" w:ascii="方正仿宋_GBK" w:hAnsi="方正仿宋_GBK" w:eastAsia="方正仿宋_GBK" w:cs="方正仿宋_GBK"/>
          <w:color w:val="333333"/>
          <w:spacing w:val="-17"/>
          <w:sz w:val="32"/>
          <w:szCs w:val="32"/>
        </w:rPr>
        <w:t>重庆领导干部自然资源资产离任审计评价指标体系构建研究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52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．重庆市域社会治理现代化研究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53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．重庆数字创新成果知识产权保护立法研究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54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．重庆统一战线历史研究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55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．重庆推动金融数据产业发展的法律保障机制研究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56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．重庆现代公共法律服务体系建设研究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57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．行政执法协调监督体系研究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58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．加快推进新兴领域立法研究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59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．媒体公益普法制度研究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60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．守信激励和失信惩戒立法研究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61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．新媒体背景下重庆“智慧普法”机制创新研究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62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．渔业资源保护中行刑衔接的立法与实践研究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63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．重庆地方立法评估研究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64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</w:t>
      </w:r>
      <w:r>
        <w:rPr>
          <w:rFonts w:hint="eastAsia" w:ascii="方正仿宋_GBK" w:hAnsi="方正仿宋_GBK" w:eastAsia="方正仿宋_GBK" w:cs="方正仿宋_GBK"/>
          <w:color w:val="333333"/>
          <w:spacing w:val="-17"/>
          <w:sz w:val="32"/>
          <w:szCs w:val="32"/>
        </w:rPr>
        <w:t>重庆地方性规章、规范性文件备案审查和评估清理制度研究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65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．重庆法律顾问、公职律师参与重大行政决策机制研究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66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．重庆法治乡村建设研究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67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．重庆公共法律服务评价指标体系研究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68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．重庆互联网领域公益诉讼制度研究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69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．重庆农村地区法律顾问制度研究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70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．重庆青少年法治教育工作机制创新研究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71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．电信网络诈骗全链条打击、一体化治理法治保障研究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72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．反诈宣传社会全覆盖研究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456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sz w:val="24"/>
          <w:szCs w:val="24"/>
        </w:rPr>
        <w:t>★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73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．高质量发展背景下促进共同富裕研究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456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sz w:val="24"/>
          <w:szCs w:val="24"/>
        </w:rPr>
        <w:t>★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74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．成渝地区双城经济圈协同创新体系建设研究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456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sz w:val="24"/>
          <w:szCs w:val="24"/>
        </w:rPr>
        <w:t>★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75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．长江上游“三水”安全区间预测与协同治理研究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456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sz w:val="24"/>
          <w:szCs w:val="24"/>
        </w:rPr>
        <w:t>★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76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．重庆经济社会发展全面绿色转型研究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456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sz w:val="24"/>
          <w:szCs w:val="24"/>
        </w:rPr>
        <w:t>★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77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．“双碳”目标下三峡库区城镇生态化建设研究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456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sz w:val="24"/>
          <w:szCs w:val="24"/>
        </w:rPr>
        <w:t>★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78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．“双碳”目标下重庆国土空间规划优化研究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456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sz w:val="24"/>
          <w:szCs w:val="24"/>
        </w:rPr>
        <w:t>★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79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．重庆重特大生产安全事故预警与防范机制优化研究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456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sz w:val="24"/>
          <w:szCs w:val="24"/>
        </w:rPr>
        <w:t>★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80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RCEP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背景下重庆对外贸易高质量发展路径研究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456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sz w:val="24"/>
          <w:szCs w:val="24"/>
        </w:rPr>
        <w:t>★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81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．基于金融生态的成渝共建西部金融中心路径研究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456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sz w:val="24"/>
          <w:szCs w:val="24"/>
        </w:rPr>
        <w:t>★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82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．商业保险服务共同富裕目标机制研究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456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sz w:val="24"/>
          <w:szCs w:val="24"/>
        </w:rPr>
        <w:t>★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83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．乡村产业振兴防止规模性返贫研究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456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sz w:val="24"/>
          <w:szCs w:val="24"/>
        </w:rPr>
        <w:t>★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84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．乡村振兴背景下重庆农村土地制度改革研究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456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sz w:val="24"/>
          <w:szCs w:val="24"/>
        </w:rPr>
        <w:t>★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85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．重庆乡村振兴金融服务模式创新研究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456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sz w:val="24"/>
          <w:szCs w:val="24"/>
        </w:rPr>
        <w:t>★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86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．政企合作规范体系研究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456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sz w:val="24"/>
          <w:szCs w:val="24"/>
        </w:rPr>
        <w:t>★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87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．提升政府助企精准化机制研究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456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sz w:val="24"/>
          <w:szCs w:val="24"/>
        </w:rPr>
        <w:t>★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88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．重庆促进“专精特新”企业发展研究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456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sz w:val="24"/>
          <w:szCs w:val="24"/>
        </w:rPr>
        <w:t>★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89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．重庆扩大服务业对外开放路径研究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456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sz w:val="24"/>
          <w:szCs w:val="24"/>
        </w:rPr>
        <w:t>★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90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．重庆网络安全管理制度创新研究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456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sz w:val="24"/>
          <w:szCs w:val="24"/>
        </w:rPr>
        <w:t>★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91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．重庆信用经济发展研究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92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．成渝地区双城经济圈一体化发展评价指标体系研究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93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．成渝地区现代流通网络建设研究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94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．成渝地区要素资源市场一体化研究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95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．成渝企业跨境投融资创新研究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96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．“万开云”一体化发展研究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97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．渝东南武陵山区民俗风情生态旅游示范区打造研究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98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．创新要素有序流动和合理配置研究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99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．全球地缘政治格局演变对重庆对外开放影响研究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100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．统一大市场建设背景下破除地方保护和区域壁垒研究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101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．重庆发展统一的资本市场研究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102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．重庆健全统一市场监管机制研究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103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．重庆数字政府建设研究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104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．重庆数字政府全方位安全保障体系构建研究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105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．重庆数字经济公平竞争治理研究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106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．重庆数据产权制度研究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107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．助推数字经济发展的税收政策与服务研究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108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．税收大数据促进精准招商机制研究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109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</w:t>
      </w:r>
      <w:r>
        <w:rPr>
          <w:rFonts w:hint="eastAsia" w:ascii="方正仿宋_GBK" w:hAnsi="方正仿宋_GBK" w:eastAsia="方正仿宋_GBK" w:cs="方正仿宋_GBK"/>
          <w:color w:val="333333"/>
          <w:spacing w:val="-6"/>
          <w:sz w:val="32"/>
          <w:szCs w:val="32"/>
        </w:rPr>
        <w:t>重庆农村集体经济“资金</w:t>
      </w:r>
      <w:r>
        <w:rPr>
          <w:rFonts w:hint="default" w:ascii="Times New Roman" w:hAnsi="Times New Roman" w:eastAsia="方正仿宋_GBK" w:cs="Times New Roman"/>
          <w:color w:val="333333"/>
          <w:spacing w:val="-6"/>
          <w:sz w:val="32"/>
          <w:szCs w:val="32"/>
        </w:rPr>
        <w:t>-</w:t>
      </w:r>
      <w:r>
        <w:rPr>
          <w:rFonts w:hint="eastAsia" w:ascii="方正仿宋_GBK" w:hAnsi="方正仿宋_GBK" w:eastAsia="方正仿宋_GBK" w:cs="方正仿宋_GBK"/>
          <w:color w:val="333333"/>
          <w:spacing w:val="-6"/>
          <w:sz w:val="32"/>
          <w:szCs w:val="32"/>
        </w:rPr>
        <w:t>资产</w:t>
      </w:r>
      <w:r>
        <w:rPr>
          <w:rFonts w:hint="default" w:ascii="Times New Roman" w:hAnsi="Times New Roman" w:eastAsia="方正仿宋_GBK" w:cs="Times New Roman"/>
          <w:color w:val="333333"/>
          <w:spacing w:val="-6"/>
          <w:sz w:val="32"/>
          <w:szCs w:val="32"/>
        </w:rPr>
        <w:t>-</w:t>
      </w:r>
      <w:r>
        <w:rPr>
          <w:rFonts w:hint="eastAsia" w:ascii="方正仿宋_GBK" w:hAnsi="方正仿宋_GBK" w:eastAsia="方正仿宋_GBK" w:cs="方正仿宋_GBK"/>
          <w:color w:val="333333"/>
          <w:spacing w:val="-6"/>
          <w:sz w:val="32"/>
          <w:szCs w:val="32"/>
        </w:rPr>
        <w:t>资源”数字化治理研究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110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．重庆健全商品质量体系研究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111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．重庆交易平台优化升级研究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112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．重庆金融体系风险管理能力提升研究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113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．重庆金融体系支持科技创新体系构建研究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114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．重庆重大金融风险防范化解机制研究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115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．高质量发展战略下重庆保险市场供给体系研究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116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．重庆投资新空间及投融资能力提升研究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117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．市属国有控股上市公司高质量发展研究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118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．市属国有制造业转型升级高质量发展研究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119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．重庆国有企业内控体系研究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120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．重庆平台企业合规治理研究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121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．大型涉房企业危困成因及纾困策略研究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122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．重庆科技型企业培育研究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123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．重庆“百年乡建”资源的开发利用研究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124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．重庆冰雪运动旅游资源整合与开发研究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125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．重庆培育建设国际消费中心城市路径研究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126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．重庆新型智慧城市建设的目标与路径研究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127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．构建产才融合发展机制研究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128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．重庆人力资源服务业高质量发展研究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129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．重庆山地特色农业农村现代化研究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130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．农村集体经济组织治理优化研究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131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．重庆市场信息交互渠道研究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132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．重庆市区域智造发展水平评价指标体系研究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133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．重庆县级财力长效保障机制研究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134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．综合交通枢纽型公共空间风险治理研究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135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．历史比较视野下的大国海外铁路建设研究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456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sz w:val="24"/>
          <w:szCs w:val="24"/>
        </w:rPr>
        <w:t>★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136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．三峡库区生物多样性保护研究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456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sz w:val="24"/>
          <w:szCs w:val="24"/>
        </w:rPr>
        <w:t>★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137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．重庆保障粮食安全研究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456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sz w:val="24"/>
          <w:szCs w:val="24"/>
        </w:rPr>
        <w:t>★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138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．重庆高等教育高质量发展路径选择研究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456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sz w:val="24"/>
          <w:szCs w:val="24"/>
        </w:rPr>
        <w:t>★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139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．重庆“双一流”高校和学科建设研究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456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sz w:val="24"/>
          <w:szCs w:val="24"/>
        </w:rPr>
        <w:t>★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140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．成渝地区双城经济圈乡村振兴与职业教育高质量发展融合研究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456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sz w:val="24"/>
          <w:szCs w:val="24"/>
        </w:rPr>
        <w:t>★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141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．成渝地区双城经济圈行政执法协作联动机制研究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456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sz w:val="24"/>
          <w:szCs w:val="24"/>
        </w:rPr>
        <w:t>★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142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．重庆高端人才引进和保障机制创新研究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456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sz w:val="24"/>
          <w:szCs w:val="24"/>
        </w:rPr>
        <w:t>★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143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．重庆人才评价体系改革研究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456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sz w:val="24"/>
          <w:szCs w:val="24"/>
        </w:rPr>
        <w:t>★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144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．重庆高质量构建“一老一小”保障体系研究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456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sz w:val="24"/>
          <w:szCs w:val="24"/>
        </w:rPr>
        <w:t>★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145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．城市互助养老的社会资源开发与整合利用研究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456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sz w:val="24"/>
          <w:szCs w:val="24"/>
        </w:rPr>
        <w:t>★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146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．重庆基本养老服务体系建设研究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456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sz w:val="24"/>
          <w:szCs w:val="24"/>
        </w:rPr>
        <w:t>★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147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．“三孩”政策下重庆城乡托育服务资源供给研究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456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sz w:val="24"/>
          <w:szCs w:val="24"/>
        </w:rPr>
        <w:t>★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148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．“三孩”政策下婴幼儿照护服务体系建设与发展研究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456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sz w:val="24"/>
          <w:szCs w:val="24"/>
        </w:rPr>
        <w:t>★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149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．重庆青少年体育健康发展研究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456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sz w:val="24"/>
          <w:szCs w:val="24"/>
        </w:rPr>
        <w:t>★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150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．“双减”背景下青少年人际关系与人格发展促进研究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456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sz w:val="24"/>
          <w:szCs w:val="24"/>
        </w:rPr>
        <w:t>★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151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．脱贫农民实现稳步致富研究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456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sz w:val="24"/>
          <w:szCs w:val="24"/>
        </w:rPr>
        <w:t>★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152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．“枫桥经验”重庆实践研究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456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sz w:val="24"/>
          <w:szCs w:val="24"/>
        </w:rPr>
        <w:t>★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153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．动植物疫病防治体系构建研究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154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．教育“双减”政策促进教育公平研究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155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．大中小学校思想政治教育一体化研究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156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．高校数字校园建设研究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157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．重庆高校新文科建设研究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left="0" w:right="-105" w:rightChars="-50" w:firstLine="641"/>
        <w:textAlignment w:val="auto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158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．重庆高校学科专业与区域发展需求匹配度评估研究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159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．重庆高校外语学科服务国际传播能力建设研究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160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．重庆科研经费管理体制机制改革研究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161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．重庆科研项目管理全链条质量监测研究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162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．重庆教师教育史研究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163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．新时代思政课教师培养研究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164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．“双减”背景下中小学教师核心素养发展研究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165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．成渝地区双城经济圈教师协同发展研究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166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．成渝地区双城经济圈体育产业协同发展机制研究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167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．人工智能教育的伦理风险研究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168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．重庆优秀青年人才全链条培养制度研究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169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．重庆哲学社会科学人才队伍建设研究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170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．重庆中华优秀文化传播人才培养机制研究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171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．重庆培养国际性人才的外语课程布局研究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172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．思政工作融入少先队活动的路径研究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173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．重庆中小学健康教育研究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174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．普惠性托育服务供需研究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175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．青少年亲子疏离与抑郁防治研究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176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．新时代文明实践中心作用发挥研究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177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．新时代文明实践与社会治理协同发展路径研究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178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．新时代文明实践中心建设评价指标体系研究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179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．新时代文明实践中心在构建“山水之城·美丽之地”生态文明体系中的定位和运行机理研究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180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．公众参与新时代文明实践激励机制研究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181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．重庆志愿服务组织与新时代文明实践中心建设研究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182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．重庆志愿服务标准化建设研究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183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．重庆档案资源保护研究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184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．重庆档案安全体系建设研究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185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．“互联网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+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”时代档案管理数字化研究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186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．重庆建设安全韧性城市的理论与实践研究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187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．重庆耕地差异化用途研究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188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．重庆节约用水激励机制研究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189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．重庆市跨区县合作平台建设研究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190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．重庆新时代人民调解机制创新研究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191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．完善派驻乡镇（街道）管理体制研究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192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．促进企业积极承担社会责任研究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193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．中印农村基层自治与公共物品供给对比研究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456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sz w:val="24"/>
          <w:szCs w:val="24"/>
        </w:rPr>
        <w:t>★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194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．红岩精神的丰富内涵与时代价值研究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456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sz w:val="24"/>
          <w:szCs w:val="24"/>
        </w:rPr>
        <w:t>★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195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．重庆红色资源保护利用法治化、规范化研究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456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sz w:val="24"/>
          <w:szCs w:val="24"/>
        </w:rPr>
        <w:t>★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196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．成渝地区革命文物保护利用合作示范机制研究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456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sz w:val="24"/>
          <w:szCs w:val="24"/>
        </w:rPr>
        <w:t>★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197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．重庆非物质文化遗产数据库建设研究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456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pacing w:val="-6"/>
          <w:sz w:val="24"/>
          <w:szCs w:val="24"/>
        </w:rPr>
        <w:t>★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198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．重庆文物全媒体传播体系和能力建设研究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199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．当代马克思主义美学的基本问题及艺术创作理论研究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200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．世界文化遗产风险评估机制研究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201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．成渝地区双城经济圈协调推进法治文化建设研究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．中华文化典籍对外话语构建研究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203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．中华文化物化标识系统研究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204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．中华文明起源与早期发展综合研究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205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．中华优秀传统文化创造性转化、创新性发展研究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206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．长江三峡文化研究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207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．红岩精神的域外传播研究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208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．重庆红色资源数据库建设研究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209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．重庆红色档案抢救、修复、整理研究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210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．川渝红色文献整理研究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211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．重庆历史文化精神研究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212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．重庆历史文化保护传承体系研究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213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．重庆历史文化遗产数字化传播研究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214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．重庆历史文化资源调查评估机制研究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215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．重庆城乡历史文化保护金融支持机制研究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216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．重庆民族地区非物质文化遗产传承研究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217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．文物在中外文明交流互鉴中的作用研究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218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．重庆文物地图编绘研究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219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．重庆文物关联知识产权保护研究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220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．重庆文物数字内容新业态研究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221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．重庆文物数字资源建设研究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222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．重庆文物素材再造和衍生创新研究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223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．重庆文物文化创意产业基地研究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224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．重庆文物知识产权多级授权体系和多元投入机制研究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225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．重庆区县级公共图书馆地方文献目录研究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226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．重庆建筑类革命旧址展示利用提升研究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227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．重庆美术展览现状与发展研究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228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．重庆先锋艺术与审美现代性研究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229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．重庆传统手工艺发展现状研究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230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．乡村光环境设计研究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231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．乡村振兴视角下公共艺术文化服务模式研究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232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"/>
        </w:rPr>
        <w:t>．重庆图书馆藏西南局《新华日报》整理研究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233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．巴渝地区民族题材竹枝词综合研究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234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．民国时期巴渝艺术家论著收集整理研究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235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．晚清民国宣讲小说与法律关系研究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236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．现代川剧演剧体系研究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237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．中医药传统知识保护和传承制度研究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238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．《周煌文集》整理研究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239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．儒学原创期的家哲学及其当代意义研究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240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16-18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世纪的儒学西传与欧洲现代性启蒙研究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241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．出土文学文献整理研究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242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．从词汇史角度考《黄帝内经》各篇撰成时代研究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243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．康熙《重庆府志》辑佚与研究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244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．秦汉与罗马货币制度对比研究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245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．清代经学与书学关系研究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246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．当代日本战争反思作品译介研究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247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．德语国家旅游指南中的重庆形象研究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248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．基于外向型学习词典的现代汉语常用词释义研究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249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．两德统一前后原民主德国作家作品研究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250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"/>
        </w:rPr>
        <w:t>．战时重庆中国共产党活动研究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251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"/>
        </w:rPr>
        <w:t>．中共中央南方局强化党员党性教育的经验与价值研究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252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"/>
        </w:rPr>
        <w:t>．《新华日报》中国共产党重要文献整理与研究（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1938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"/>
        </w:rPr>
        <w:t>—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1947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"/>
        </w:rPr>
        <w:t>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253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"/>
        </w:rPr>
        <w:t>．《红岩革命历史档案文献大系》收集整理研究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254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"/>
        </w:rPr>
        <w:t>．全面抗战时期大后方经济专题研究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255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"/>
        </w:rPr>
        <w:t>．重庆图书馆藏抗战大后方经济调查文献整理与研究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256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"/>
        </w:rPr>
        <w:t>．城口县红色文化资源挖掘、利用研究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257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"/>
        </w:rPr>
        <w:t>．</w:t>
      </w:r>
      <w:r>
        <w:rPr>
          <w:rFonts w:hint="eastAsia" w:ascii="方正仿宋_GBK" w:hAnsi="方正仿宋_GBK" w:eastAsia="方正仿宋_GBK" w:cs="方正仿宋_GBK"/>
          <w:color w:val="333333"/>
          <w:spacing w:val="-6"/>
          <w:kern w:val="0"/>
          <w:sz w:val="32"/>
          <w:szCs w:val="32"/>
          <w:lang w:val="en-US" w:eastAsia="zh-CN" w:bidi="ar"/>
        </w:rPr>
        <w:t>中共中央南方局与大后方抗战美术档案文献整理与研究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258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"/>
        </w:rPr>
        <w:t>．抗战时期大后方的中外美术交流研究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259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"/>
        </w:rPr>
        <w:t>．抗战时期大后方的美术教育研究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260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"/>
        </w:rPr>
        <w:t>．抗战时期故宫文物南迁重庆史料整理与史迹保护研究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rPr>
          <w:rFonts w:hint="default" w:ascii="Verdana" w:hAnsi="Verdana" w:cs="Verdan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261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．抗战时期重庆与延安的文学互动研究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262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"/>
        </w:rPr>
        <w:t>．《新华日报》诗歌整理与研究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263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"/>
        </w:rPr>
        <w:t>．抗战漫画史研究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264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"/>
        </w:rPr>
        <w:t>．抗战时期重庆科技史研究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265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"/>
        </w:rPr>
        <w:t>．中共中央南方局对沦陷区知识分子的统战工作研究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266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"/>
        </w:rPr>
        <w:t>．抗战时期重庆报刊中的统一战线研究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267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"/>
        </w:rPr>
        <w:t>．抗战时期中共中央南方局外事工作研究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268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"/>
        </w:rPr>
        <w:t>．抗战时期法国大使馆驻渝档案整理研究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269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"/>
        </w:rPr>
        <w:t>．抗战时期苏联《真理报》载重庆及西南地区人民支援抗战史料整理研究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270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"/>
        </w:rPr>
        <w:t>．抗战时期重庆大轰炸被破坏的重要建筑历史研究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271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"/>
        </w:rPr>
        <w:t>．抗战大后方宗教界抗日救亡史料整理与研究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272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"/>
        </w:rPr>
        <w:t>．谢唯进资料收集、整理与研究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17"/>
        <w:jc w:val="both"/>
        <w:rPr>
          <w:rFonts w:hint="default" w:ascii="Verdana" w:hAnsi="Verdana" w:cs="Verdan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各相关学科基础理论及理论创新研究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MWFjYzA0MTYyNjE4YzBlYTEzNmM3NjFhMWZkOTQifQ=="/>
  </w:docVars>
  <w:rsids>
    <w:rsidRoot w:val="022529BA"/>
    <w:rsid w:val="022529BA"/>
    <w:rsid w:val="6FA7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uiPriority w:val="0"/>
    <w:rPr>
      <w:color w:val="800080"/>
      <w:u w:val="none"/>
    </w:rPr>
  </w:style>
  <w:style w:type="character" w:styleId="7">
    <w:name w:val="HTML Definition"/>
    <w:basedOn w:val="4"/>
    <w:uiPriority w:val="0"/>
    <w:rPr>
      <w:i/>
      <w:iCs/>
    </w:rPr>
  </w:style>
  <w:style w:type="character" w:styleId="8">
    <w:name w:val="Hyperlink"/>
    <w:basedOn w:val="4"/>
    <w:uiPriority w:val="0"/>
    <w:rPr>
      <w:color w:val="0000FF"/>
      <w:u w:val="none"/>
    </w:rPr>
  </w:style>
  <w:style w:type="character" w:styleId="9">
    <w:name w:val="HTML Code"/>
    <w:basedOn w:val="4"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0">
    <w:name w:val="HTML Keyboard"/>
    <w:basedOn w:val="4"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1">
    <w:name w:val="HTML Sample"/>
    <w:basedOn w:val="4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2">
    <w:name w:val="nth-child(3)"/>
    <w:basedOn w:val="4"/>
    <w:uiPriority w:val="0"/>
  </w:style>
  <w:style w:type="character" w:customStyle="1" w:styleId="13">
    <w:name w:val="nth-child(1)"/>
    <w:basedOn w:val="4"/>
    <w:uiPriority w:val="0"/>
  </w:style>
  <w:style w:type="character" w:customStyle="1" w:styleId="14">
    <w:name w:val="nth-child(1)1"/>
    <w:basedOn w:val="4"/>
    <w:uiPriority w:val="0"/>
  </w:style>
  <w:style w:type="character" w:customStyle="1" w:styleId="15">
    <w:name w:val="nth-child(2)"/>
    <w:basedOn w:val="4"/>
    <w:uiPriority w:val="0"/>
  </w:style>
  <w:style w:type="character" w:customStyle="1" w:styleId="16">
    <w:name w:val="nth-child(2)1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5441</Words>
  <Characters>5892</Characters>
  <Lines>0</Lines>
  <Paragraphs>0</Paragraphs>
  <TotalTime>2</TotalTime>
  <ScaleCrop>false</ScaleCrop>
  <LinksUpToDate>false</LinksUpToDate>
  <CharactersWithSpaces>5898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2022-05-05T02:52:00Z</dcterms:created>
  <dc:creator>xzl-204</dc:creator>
  <cp:lastModifiedBy>xzl-204</cp:lastModifiedBy>
  <dcterms:modified xsi:type="dcterms:W3CDTF">2022-05-05T02:57:07Z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7E0A7EF1631F4EA5B2BBE2F753F47ACC</vt:lpwstr>
  </property>
</Properties>
</file>